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62B4" w:rsidRDefault="007B646A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98880" cy="1242060"/>
            <wp:effectExtent l="0" t="0" r="127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B4" w:rsidRDefault="00B062B4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B062B4" w:rsidRDefault="00B062B4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B062B4" w:rsidRDefault="00B062B4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ПРЕСС-РЕЛИЗ</w:t>
      </w:r>
    </w:p>
    <w:p w:rsidR="005E37A0" w:rsidRDefault="005E37A0">
      <w:pPr>
        <w:ind w:firstLine="709"/>
        <w:jc w:val="right"/>
      </w:pPr>
      <w:r>
        <w:rPr>
          <w:b/>
          <w:bCs/>
          <w:sz w:val="32"/>
          <w:szCs w:val="32"/>
        </w:rPr>
        <w:t>01.04.2024</w:t>
      </w:r>
    </w:p>
    <w:p w:rsidR="00B062B4" w:rsidRDefault="00B062B4">
      <w:pPr>
        <w:ind w:firstLine="709"/>
        <w:jc w:val="right"/>
      </w:pPr>
    </w:p>
    <w:p w:rsidR="00B062B4" w:rsidRDefault="00B062B4">
      <w:pPr>
        <w:jc w:val="right"/>
        <w:rPr>
          <w:b/>
          <w:i/>
          <w:sz w:val="12"/>
          <w:szCs w:val="12"/>
        </w:rPr>
      </w:pPr>
    </w:p>
    <w:p w:rsidR="00B062B4" w:rsidRPr="005E37A0" w:rsidRDefault="00B062B4" w:rsidP="005E37A0">
      <w:r w:rsidRPr="005E37A0">
        <w:rPr>
          <w:rStyle w:val="ac"/>
          <w:bCs w:val="0"/>
          <w:color w:val="000000"/>
          <w:sz w:val="30"/>
          <w:szCs w:val="30"/>
          <w:lang w:eastAsia="ru-RU"/>
        </w:rPr>
        <w:t xml:space="preserve">Что такое охранные зоны: </w:t>
      </w:r>
      <w:r w:rsidRPr="005E37A0">
        <w:rPr>
          <w:rStyle w:val="ac"/>
          <w:bCs w:val="0"/>
          <w:color w:val="000000"/>
          <w:sz w:val="28"/>
          <w:szCs w:val="28"/>
          <w:lang w:eastAsia="ru-RU"/>
        </w:rPr>
        <w:t>что нужно знать собственнику или покупателю земельного участка</w:t>
      </w:r>
    </w:p>
    <w:p w:rsidR="00B062B4" w:rsidRDefault="00B062B4">
      <w:pPr>
        <w:jc w:val="center"/>
      </w:pPr>
    </w:p>
    <w:p w:rsidR="00B062B4" w:rsidRDefault="00B062B4">
      <w:pPr>
        <w:pStyle w:val="a0"/>
        <w:spacing w:after="0" w:line="240" w:lineRule="auto"/>
        <w:ind w:firstLine="737"/>
        <w:jc w:val="center"/>
        <w:rPr>
          <w:color w:val="auto"/>
          <w:sz w:val="28"/>
          <w:szCs w:val="28"/>
        </w:rPr>
      </w:pPr>
    </w:p>
    <w:p w:rsidR="00B062B4" w:rsidRDefault="00B062B4">
      <w:pPr>
        <w:pStyle w:val="a0"/>
        <w:spacing w:after="0" w:line="240" w:lineRule="auto"/>
        <w:ind w:firstLine="737"/>
        <w:jc w:val="both"/>
      </w:pPr>
      <w:r>
        <w:rPr>
          <w:b/>
          <w:bCs/>
          <w:color w:val="auto"/>
          <w:sz w:val="28"/>
          <w:szCs w:val="28"/>
        </w:rPr>
        <w:t>В Единый государственный реестр недвижимости (ЕГРН) внесены сведения о зонах с особыми условиями использования территории (ЗОУИТ). Это  территории, в границах которых устанавливаются особые условия их использования, необходимые для безопасной эксплуатации объектов, людей и защиты окружающей среды.</w:t>
      </w:r>
      <w:r>
        <w:rPr>
          <w:b/>
          <w:bCs/>
          <w:color w:val="8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Эксперты регионального Роскадастра рассказали о таких охранных зонах и пояснили, зачем необходимо проверять их наличие на своем земельном участке.</w:t>
      </w:r>
    </w:p>
    <w:p w:rsidR="00B062B4" w:rsidRDefault="00B062B4">
      <w:pPr>
        <w:ind w:firstLine="737"/>
        <w:jc w:val="both"/>
      </w:pPr>
      <w:r>
        <w:rPr>
          <w:color w:val="auto"/>
          <w:sz w:val="28"/>
          <w:szCs w:val="28"/>
        </w:rPr>
        <w:t>По закону охранные зоны устанавливаются вокруг или в непосредственной близости от железных дорог, трубопроводов, линий и сооружений связи, тепловых сетей, объектов электроэнергетики, гидроэнергетических объектов, военных объектов, пунктов государственной геодезической сети, объектов культурного наследия, особо охраняемых природных территорий, водных объектов и др. Земельным кодексом установлены 28 видов зон для обеспечения безопасности населения, а также для сохранности, предупреждения повреждений или нарушения условий нормальной эксплуатации объектов.</w:t>
      </w:r>
    </w:p>
    <w:p w:rsidR="00B062B4" w:rsidRDefault="00B062B4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 xml:space="preserve">Решения об установлении охранной зоны принимается уполномоченными органами государственной власти или органом местного самоуправления на основании федеральных законов и положений. </w:t>
      </w:r>
    </w:p>
    <w:p w:rsidR="00B062B4" w:rsidRDefault="00B062B4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>После установления ЗОУИТ сведения должны быть переданы в орган регистрации прав для внесения их в ЕГРН. Бывают случаи, когда существующий объект предполагает наличие охранной зоны, но в ЕГРН такие сведения отсутствуют. Это связано с тем, что собственник объекта или уполномоченный орган в нарушение действующего законодательства не определил границы охранной зоны и не внес их в ЕГРН. Это является существенным нарушением режима использования такого объекта.</w:t>
      </w:r>
    </w:p>
    <w:p w:rsidR="00B062B4" w:rsidRDefault="00B062B4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 xml:space="preserve">Наличие ЗОУИТ на принадлежащих гражданам земельных участках ограничивает  права собственников, владельцев, арендаторов. Все работы на таких участках должны быть согласованы с собственником объекта с установленной охранной зоной. Например, охранная зона газопровода или линии электропередачи может повлечь запрет на строительство зданий и сооружений, а санитарно-защитная зона - на строительство объектов жилого назначения. Действует запрет на любые </w:t>
      </w:r>
      <w:r>
        <w:rPr>
          <w:color w:val="000000"/>
          <w:sz w:val="28"/>
          <w:szCs w:val="28"/>
        </w:rPr>
        <w:lastRenderedPageBreak/>
        <w:t>земляные работы в местах прохождения подземных трубопроводов или линий связи без согласования организации–собственника подземных коммуникаций.</w:t>
      </w:r>
    </w:p>
    <w:p w:rsidR="00B062B4" w:rsidRDefault="00B062B4">
      <w:pPr>
        <w:pStyle w:val="a0"/>
        <w:spacing w:after="0" w:line="240" w:lineRule="auto"/>
        <w:ind w:firstLine="737"/>
        <w:jc w:val="both"/>
      </w:pPr>
      <w:r>
        <w:rPr>
          <w:i/>
          <w:iCs/>
          <w:sz w:val="28"/>
          <w:szCs w:val="28"/>
        </w:rPr>
        <w:t>«На сегодняшний день в ЕГРН содержатся сведения о 32 тыс. зон с особыми условиями использования территории, расположенных в Алтайском крае. Большую часть из них (73%) составляют охранные зоны объектов электроэнергетики, газопроводов, объектов культурного наследия. За последний год в ЕГРН внесено 3209 охранных зон. Своевременная проверка сведений о наличии охранной зоны, распространяющейся на земельный участок, предупреждает потенциальных покупателей и арендаторов о возможных ограничениях их использования и позволяет избежать нарушений действующего законодательства, -</w:t>
      </w:r>
      <w:r>
        <w:rPr>
          <w:sz w:val="28"/>
          <w:szCs w:val="28"/>
        </w:rPr>
        <w:t xml:space="preserve"> рассказал </w:t>
      </w:r>
      <w:r>
        <w:rPr>
          <w:b/>
          <w:bCs/>
          <w:sz w:val="28"/>
          <w:szCs w:val="28"/>
        </w:rPr>
        <w:t>заместитель директора Роскадастра по Алтайскому краю Игорь Штайнепрайс.</w:t>
      </w:r>
    </w:p>
    <w:p w:rsidR="00B062B4" w:rsidRDefault="00B062B4">
      <w:pPr>
        <w:pStyle w:val="a0"/>
        <w:spacing w:after="0" w:line="240" w:lineRule="auto"/>
        <w:ind w:firstLine="737"/>
        <w:jc w:val="both"/>
      </w:pPr>
      <w:r>
        <w:rPr>
          <w:sz w:val="28"/>
          <w:szCs w:val="28"/>
        </w:rPr>
        <w:t xml:space="preserve">Земельный участок и постройки на нём, расположенные в границах ЗОУИТ, можно продавать, дарить, отчуждать по договору мены и т.д. При этом ограничения, связанные с установлением охранных зон, сохраняются при переходе права на земельный участок к новому собственнику. </w:t>
      </w:r>
    </w:p>
    <w:p w:rsidR="00B062B4" w:rsidRDefault="00B062B4">
      <w:pPr>
        <w:pStyle w:val="a0"/>
        <w:spacing w:after="0" w:line="240" w:lineRule="auto"/>
        <w:ind w:firstLine="737"/>
        <w:jc w:val="both"/>
      </w:pPr>
      <w:r>
        <w:rPr>
          <w:sz w:val="28"/>
          <w:szCs w:val="28"/>
        </w:rPr>
        <w:t>При проверке недвижимости перед покупкой следует обратить внимание на размещенные в границах земельного участка либо на прилегающих территориях инженерные сети и предприятия. Например, вокруг линий электропередачи, наземного или подземного трубопровода возникают охранные зоны, режим использования которых может стать неприятным сюрпризом для собственника. Особенно это касается подземных сооружений, которые визуально обнаружить невозможно.</w:t>
      </w:r>
    </w:p>
    <w:p w:rsidR="00B062B4" w:rsidRDefault="00B062B4">
      <w:pPr>
        <w:pStyle w:val="a0"/>
        <w:spacing w:after="0" w:line="240" w:lineRule="auto"/>
        <w:ind w:firstLine="737"/>
        <w:jc w:val="both"/>
      </w:pPr>
      <w:r>
        <w:rPr>
          <w:sz w:val="28"/>
          <w:szCs w:val="28"/>
        </w:rPr>
        <w:t>В таких случаях рекомендуется получить сведения из ЕГРН в виде выписки об объекте недвижимости, в разделе 4.1 которой указывается информация о наличии ограничений использования земельного участка. Документ можно запросить в офисе МФЦ, на порталах Росреестра и Госуслуг. Сведения, запрашиваемые в электронном виде, на 50% экономичнее бумажного варианта выписки. Кроме того, информацию о ЗОУИТ, сведения о которых содержатся в ЕГРН, можно получить с помощью общедоступного сервиса «Публичная кадастровая карта».</w:t>
      </w:r>
    </w:p>
    <w:p w:rsidR="00B062B4" w:rsidRDefault="00B062B4">
      <w:pPr>
        <w:pStyle w:val="a0"/>
        <w:spacing w:after="0" w:line="240" w:lineRule="auto"/>
        <w:ind w:firstLine="737"/>
        <w:jc w:val="both"/>
      </w:pPr>
    </w:p>
    <w:p w:rsidR="00B062B4" w:rsidRDefault="007B646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055235" cy="5055235"/>
            <wp:effectExtent l="0" t="0" r="0" b="0"/>
            <wp:docPr id="2" name="Рисунок 2" descr="охр 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хр з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2B4">
      <w:footerReference w:type="default" r:id="rId10"/>
      <w:footerReference w:type="first" r:id="rId11"/>
      <w:pgSz w:w="11906" w:h="16838"/>
      <w:pgMar w:top="623" w:right="504" w:bottom="684" w:left="1134" w:header="720" w:footer="292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B4" w:rsidRDefault="00B062B4">
      <w:r>
        <w:separator/>
      </w:r>
    </w:p>
  </w:endnote>
  <w:endnote w:type="continuationSeparator" w:id="0">
    <w:p w:rsidR="00B062B4" w:rsidRDefault="00B0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B4" w:rsidRDefault="00B062B4">
    <w:pPr>
      <w:pStyle w:val="af2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B4" w:rsidRDefault="00B062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B4" w:rsidRDefault="00B062B4">
      <w:r>
        <w:separator/>
      </w:r>
    </w:p>
  </w:footnote>
  <w:footnote w:type="continuationSeparator" w:id="0">
    <w:p w:rsidR="00B062B4" w:rsidRDefault="00B0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A0"/>
    <w:rsid w:val="005E37A0"/>
    <w:rsid w:val="0060779D"/>
    <w:rsid w:val="007B646A"/>
    <w:rsid w:val="00B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0">
    <w:name w:val="Основной текст (4)_"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4"/>
      <w:szCs w:val="24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rPr>
      <w:rFonts w:ascii="Calibri" w:eastAsia="Calibri" w:hAnsi="Calibri" w:cs="Times New Roman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styleId="aa">
    <w:name w:val="FollowedHyper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ab">
    <w:name w:val="Символ нумерации"/>
  </w:style>
  <w:style w:type="character" w:styleId="ac">
    <w:name w:val="Strong"/>
    <w:qFormat/>
    <w:rPr>
      <w:b/>
      <w:bCs/>
    </w:rPr>
  </w:style>
  <w:style w:type="paragraph" w:customStyle="1" w:styleId="ad">
    <w:name w:val="Заголовок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e">
    <w:name w:val="List"/>
    <w:basedOn w:val="a0"/>
    <w:rPr>
      <w:rFonts w:cs="Mangal"/>
    </w:rPr>
  </w:style>
  <w:style w:type="paragraph" w:styleId="af">
    <w:name w:val="caption"/>
    <w:basedOn w:val="ad"/>
    <w:next w:val="a0"/>
    <w:qFormat/>
    <w:pPr>
      <w:jc w:val="center"/>
    </w:pPr>
    <w:rPr>
      <w:b/>
      <w:bCs/>
      <w:sz w:val="56"/>
      <w:szCs w:val="56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41">
    <w:name w:val="Название объекта4"/>
    <w:basedOn w:val="ad"/>
    <w:next w:val="a0"/>
    <w:pPr>
      <w:jc w:val="center"/>
    </w:pPr>
    <w:rPr>
      <w:b/>
      <w:bCs/>
      <w:sz w:val="56"/>
      <w:szCs w:val="56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d"/>
    <w:next w:val="a0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hAnsi="Courier New" w:cs="Courier New"/>
      <w:color w:val="00000A"/>
      <w:kern w:val="2"/>
      <w:sz w:val="26"/>
      <w:szCs w:val="26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51">
    <w:name w:val="Основной текст (5)"/>
    <w:basedOn w:val="a"/>
    <w:pPr>
      <w:spacing w:before="1680" w:after="60" w:line="240" w:lineRule="atLeast"/>
    </w:pPr>
    <w:rPr>
      <w:b/>
      <w:bCs/>
      <w:spacing w:val="2"/>
    </w:rPr>
  </w:style>
  <w:style w:type="paragraph" w:customStyle="1" w:styleId="43">
    <w:name w:val="Основной текст (4)"/>
    <w:basedOn w:val="a"/>
    <w:pPr>
      <w:spacing w:line="302" w:lineRule="exact"/>
      <w:jc w:val="right"/>
    </w:pPr>
    <w:rPr>
      <w:b/>
      <w:bCs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rFonts w:ascii="Arial CYR" w:hAnsi="Arial CYR" w:cs="Arial CYR"/>
      <w:b/>
      <w:bCs/>
      <w:color w:val="00000A"/>
      <w:kern w:val="2"/>
      <w:sz w:val="24"/>
      <w:lang w:eastAsia="zh-CN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14">
    <w:name w:val="Цитата1"/>
    <w:basedOn w:val="a"/>
  </w:style>
  <w:style w:type="paragraph" w:styleId="af4">
    <w:name w:val="Subtitle"/>
    <w:basedOn w:val="10"/>
    <w:next w:val="a0"/>
    <w:qFormat/>
  </w:style>
  <w:style w:type="paragraph" w:customStyle="1" w:styleId="af5">
    <w:name w:val="Содержимое таблицы"/>
    <w:basedOn w:val="a"/>
  </w:style>
  <w:style w:type="paragraph" w:customStyle="1" w:styleId="33">
    <w:name w:val="Основной текст3"/>
    <w:basedOn w:val="a"/>
    <w:pPr>
      <w:spacing w:line="322" w:lineRule="exact"/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</w:style>
  <w:style w:type="paragraph" w:customStyle="1" w:styleId="af6">
    <w:name w:val="Заголовок таблицы"/>
    <w:basedOn w:val="af5"/>
    <w:pPr>
      <w:suppressLineNumbers/>
      <w:jc w:val="center"/>
    </w:pPr>
    <w:rPr>
      <w:b/>
      <w:bCs/>
    </w:rPr>
  </w:style>
  <w:style w:type="paragraph" w:customStyle="1" w:styleId="af7">
    <w:name w:val="Блочная цитата"/>
    <w:basedOn w:val="a"/>
    <w:pPr>
      <w:spacing w:after="283"/>
      <w:ind w:left="567" w:right="567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0">
    <w:name w:val="Основной текст (4)_"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4"/>
      <w:szCs w:val="24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rPr>
      <w:rFonts w:ascii="Calibri" w:eastAsia="Calibri" w:hAnsi="Calibri" w:cs="Times New Roman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styleId="aa">
    <w:name w:val="FollowedHyper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ab">
    <w:name w:val="Символ нумерации"/>
  </w:style>
  <w:style w:type="character" w:styleId="ac">
    <w:name w:val="Strong"/>
    <w:qFormat/>
    <w:rPr>
      <w:b/>
      <w:bCs/>
    </w:rPr>
  </w:style>
  <w:style w:type="paragraph" w:customStyle="1" w:styleId="ad">
    <w:name w:val="Заголовок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e">
    <w:name w:val="List"/>
    <w:basedOn w:val="a0"/>
    <w:rPr>
      <w:rFonts w:cs="Mangal"/>
    </w:rPr>
  </w:style>
  <w:style w:type="paragraph" w:styleId="af">
    <w:name w:val="caption"/>
    <w:basedOn w:val="ad"/>
    <w:next w:val="a0"/>
    <w:qFormat/>
    <w:pPr>
      <w:jc w:val="center"/>
    </w:pPr>
    <w:rPr>
      <w:b/>
      <w:bCs/>
      <w:sz w:val="56"/>
      <w:szCs w:val="56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41">
    <w:name w:val="Название объекта4"/>
    <w:basedOn w:val="ad"/>
    <w:next w:val="a0"/>
    <w:pPr>
      <w:jc w:val="center"/>
    </w:pPr>
    <w:rPr>
      <w:b/>
      <w:bCs/>
      <w:sz w:val="56"/>
      <w:szCs w:val="56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d"/>
    <w:next w:val="a0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hAnsi="Courier New" w:cs="Courier New"/>
      <w:color w:val="00000A"/>
      <w:kern w:val="2"/>
      <w:sz w:val="26"/>
      <w:szCs w:val="26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51">
    <w:name w:val="Основной текст (5)"/>
    <w:basedOn w:val="a"/>
    <w:pPr>
      <w:spacing w:before="1680" w:after="60" w:line="240" w:lineRule="atLeast"/>
    </w:pPr>
    <w:rPr>
      <w:b/>
      <w:bCs/>
      <w:spacing w:val="2"/>
    </w:rPr>
  </w:style>
  <w:style w:type="paragraph" w:customStyle="1" w:styleId="43">
    <w:name w:val="Основной текст (4)"/>
    <w:basedOn w:val="a"/>
    <w:pPr>
      <w:spacing w:line="302" w:lineRule="exact"/>
      <w:jc w:val="right"/>
    </w:pPr>
    <w:rPr>
      <w:b/>
      <w:bCs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rFonts w:ascii="Arial CYR" w:hAnsi="Arial CYR" w:cs="Arial CYR"/>
      <w:b/>
      <w:bCs/>
      <w:color w:val="00000A"/>
      <w:kern w:val="2"/>
      <w:sz w:val="24"/>
      <w:lang w:eastAsia="zh-CN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14">
    <w:name w:val="Цитата1"/>
    <w:basedOn w:val="a"/>
  </w:style>
  <w:style w:type="paragraph" w:styleId="af4">
    <w:name w:val="Subtitle"/>
    <w:basedOn w:val="10"/>
    <w:next w:val="a0"/>
    <w:qFormat/>
  </w:style>
  <w:style w:type="paragraph" w:customStyle="1" w:styleId="af5">
    <w:name w:val="Содержимое таблицы"/>
    <w:basedOn w:val="a"/>
  </w:style>
  <w:style w:type="paragraph" w:customStyle="1" w:styleId="33">
    <w:name w:val="Основной текст3"/>
    <w:basedOn w:val="a"/>
    <w:pPr>
      <w:spacing w:line="322" w:lineRule="exact"/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</w:style>
  <w:style w:type="paragraph" w:customStyle="1" w:styleId="af6">
    <w:name w:val="Заголовок таблицы"/>
    <w:basedOn w:val="af5"/>
    <w:pPr>
      <w:suppressLineNumbers/>
      <w:jc w:val="center"/>
    </w:pPr>
    <w:rPr>
      <w:b/>
      <w:bCs/>
    </w:rPr>
  </w:style>
  <w:style w:type="paragraph" w:customStyle="1" w:styleId="af7">
    <w:name w:val="Блочная цитата"/>
    <w:basedOn w:val="a"/>
    <w:pPr>
      <w:spacing w:after="283"/>
      <w:ind w:left="567" w:right="567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Таку Евгений Юрьевич</cp:lastModifiedBy>
  <cp:revision>2</cp:revision>
  <cp:lastPrinted>2020-02-27T05:33:00Z</cp:lastPrinted>
  <dcterms:created xsi:type="dcterms:W3CDTF">2024-04-09T02:09:00Z</dcterms:created>
  <dcterms:modified xsi:type="dcterms:W3CDTF">2024-04-09T02:09:00Z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